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202 x 229 x 195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4007841065249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Cour et allée</w:t>
      </w:r>
      <w:br/>
      <w:r>
        <w:rPr/>
        <w:t xml:space="preserve">• Coloris: anthracite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3,00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3 m (14 m²)</w:t>
      </w:r>
      <w:br/>
      <w:r>
        <w:rPr/>
        <w:t xml:space="preserve">• Portée tangentielle: r = 12 m (226 m²)</w:t>
      </w:r>
      <w:br/>
      <w:r>
        <w:rPr/>
        <w:t xml:space="preserve">• Interrupteur crépusculaire: Oui</w:t>
      </w:r>
      <w:br/>
      <w:r>
        <w:rPr/>
        <w:t xml:space="preserve">• Flux lumineux total du produit: 2050 lm</w:t>
      </w:r>
      <w:br/>
      <w:r>
        <w:rPr/>
        <w:t xml:space="preserve">• Flux lumineux mesure (360°): 2050 lm</w:t>
      </w:r>
      <w:br/>
      <w:r>
        <w:rPr/>
        <w:t xml:space="preserve">• Efficacité totale du produit: 110 lm/W</w:t>
      </w:r>
      <w:br/>
      <w:r>
        <w:rPr/>
        <w:t xml:space="preserve">• Température de couleur: 3000 K</w:t>
      </w:r>
      <w:br/>
      <w:r>
        <w:rPr/>
        <w:t xml:space="preserve">• Écart de couleur LED: SDCM6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Contrôle thermique passif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18,6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065249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ONE S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2026-06-20T01:05:33+02:00</dcterms:created>
  <dcterms:modified xsi:type="dcterms:W3CDTF">2026-06-20T01:05:33+02:00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